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План перехода на Российское / Свободно распространяемое программное обеспечение</w:t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Создание электронных почтовых ящиков на платформе VKWorkSpace вида: </w:t>
      </w:r>
      <w:hyperlink r:id="rId10" w:tooltip="mailto:user@gymn528.ru" w:history="1">
        <w:r>
          <w:rPr>
            <w:rStyle w:val="808"/>
            <w:rFonts w:ascii="Times New Roman" w:hAnsi="Times New Roman" w:cs="Times New Roman" w:eastAsia="Times New Roman"/>
            <w:sz w:val="24"/>
            <w:highlight w:val="none"/>
          </w:rPr>
          <w:t xml:space="preserve">user@gymn528.ru</w:t>
        </w:r>
        <w:r>
          <w:rPr>
            <w:rStyle w:val="808"/>
            <w:sz w:val="24"/>
            <w:highlight w:val="none"/>
          </w:rPr>
        </w:r>
      </w:hyperlink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Создание чат-комнат на платформе «</w:t>
      </w:r>
      <w:r>
        <w:rPr>
          <w:rFonts w:ascii="Times New Roman" w:hAnsi="Times New Roman" w:cs="Times New Roman" w:eastAsia="Times New Roman"/>
          <w:sz w:val="24"/>
        </w:rPr>
        <w:t xml:space="preserve">VK Мессенджер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Приобретение лицензий Р7-ОФИС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Установка и настройка Р7-ОФИС. Корпоративный.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Регистрация учтенных записей сотрудников на корпоративном сервере Р7-ОФИС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Установка на ПК гимназии операционных систем (Российские операционные системы / Свободно распространяемое программное обеспечение)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Перевод ПК гимназии на Российские ОС.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Перевод учебного процесса (дистанционный формат) на платформу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hyperlink r:id="rId11" w:tooltip="https://do2.rcokoit.ru" w:history="1">
        <w:r>
          <w:rPr>
            <w:rStyle w:val="808"/>
            <w:rFonts w:ascii="Times New Roman" w:hAnsi="Times New Roman" w:cs="Times New Roman" w:eastAsia="Times New Roman"/>
            <w:sz w:val="24"/>
            <w:highlight w:val="none"/>
          </w:rPr>
          <w:t xml:space="preserve">https://do2.rcokoit.ru</w:t>
        </w:r>
      </w:hyperlink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30"/>
        <w:numPr>
          <w:ilvl w:val="0"/>
          <w:numId w:val="1"/>
        </w:num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Организация облачного хранилища для медиаресурсов гимназии.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Таблица импортозамещения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tbl>
      <w:tblPr>
        <w:tblStyle w:val="682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0"/>
        <w:gridCol w:w="2268"/>
        <w:gridCol w:w="2127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Программный продукт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Зарубежное ПО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Аналог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Стоимость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848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Операционная система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ОС Windows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Astra Linux</w:t>
              <w:br/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91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Офисный пакет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MS Office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Libre Office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Open Source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Р7-ОФИС (Десктопная версия)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Бесплатно для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Электронная почта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Gmail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VK WorkMail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Бесплатно для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Чат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Google Chat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VK Мессенджер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Бесплатно для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Telegram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Бесплатно (резервный канал)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Система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видеоконференцсвязи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Google Meet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VK Мессенджер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Бесплатно для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Электронный документооборот с возможностью совместного редактирования документов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Google Документы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Р7-ОФИС / ФГИС Моя школа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Бесплатно для образования (необходим сервер с белым IP адресом ~ 2 300 руб/месяц)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Браузер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Google Chrome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Yandex Браузер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Free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Google Класс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Платформа для организации дистанционного обучения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Городской портал дистанционного обучения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Бесплатно для 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highlight w:val="none"/>
        </w:rPr>
      </w:pPr>
      <w:r>
        <w:rPr>
          <w:b/>
          <w:highlight w:val="none"/>
        </w:rPr>
        <w:t xml:space="preserve">Ход в</w:t>
      </w:r>
      <w:r>
        <w:rPr>
          <w:b/>
          <w:highlight w:val="none"/>
        </w:rPr>
        <w:t xml:space="preserve">ыполнения плана перехода на российское программное обеспечение</w:t>
      </w:r>
      <w:r>
        <w:rPr>
          <w:b/>
        </w:rPr>
      </w:r>
      <w:r/>
    </w:p>
    <w:p>
      <w:pPr>
        <w:ind w:left="0" w:right="0" w:firstLine="709"/>
        <w:jc w:val="left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В настоящее время (на 29.11.2022)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идет промежуточный этап освоения нового программного обеспечения электронного документооборота – Р7-ОФИС. Осуществляется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перенос документов с Google-Документов в этот офис и замена ссылок на внешнем сайте гимназии и на корпоративном сайте - электронной учительской (ЭУ), до 30.12.2022 г.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ind w:left="0" w:right="0" w:firstLine="709"/>
        <w:jc w:val="left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Каждому сотруднику гимназии необходимо проверить возможность работы в этом офисе (ссылка в ЭУ в разделе «Корпоративные ресурсы» – </w:t>
      </w:r>
      <w:r>
        <w:rPr>
          <w:rFonts w:ascii="Times New Roman" w:hAnsi="Times New Roman" w:cs="Times New Roman" w:eastAsia="Times New Roman"/>
          <w:b w:val="false"/>
          <w:i/>
          <w:sz w:val="24"/>
          <w:highlight w:val="none"/>
          <w:u w:val="single"/>
        </w:rPr>
        <w:t xml:space="preserve">электронного документооборот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).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 Если вознакает проблема - обращайтесь к Любиной О.Н. Напоминаем, что необходимо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скачать необходимые для работы файлы из Google-Документов и сохранить на своих носителях или в Р7-ОФИСе.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ind w:left="0" w:right="0" w:firstLine="709"/>
        <w:jc w:val="left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лассные руководители готовят переход чатов классов в Сферум: необходимо завершить регистрацию обучающихся в Сферум до 10.12.2022.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ind w:left="0" w:right="0" w:firstLine="709"/>
        <w:jc w:val="left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ачиная с января 2023 г. по мере возможности (или требованию вышестоящих органов) в новой ФГИС «Моя школа» начнется р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егистрация всех сотрудников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в Р7-ОФИС на федеральных серверах (потребуется повторный перенос документов, к сожалению). 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ind w:left="0" w:right="0" w:firstLine="709"/>
        <w:jc w:val="left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После 01.01.2023 учетные записи Google Worcspace for Education будут заблокированы для всех участников образовательного процесса в соответствии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 с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Федеральным законом от 30.12.2021 г. № 472-ФЗ 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: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использование исключительно государственных информационных систем (ресурсов) при реализации основных общеобразовательных программ с 01.01.2023 г.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ind w:left="720"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b w:val="false"/>
          <w:highlight w:val="none"/>
        </w:rPr>
      </w:pPr>
      <w:r>
        <w:rPr>
          <w:rFonts w:ascii="Times New Roman" w:hAnsi="Times New Roman" w:cs="Times New Roman" w:eastAsia="Times New Roman"/>
          <w:b w:val="false"/>
          <w:highlight w:val="none"/>
        </w:rPr>
      </w:r>
      <w:r>
        <w:rPr>
          <w:rFonts w:ascii="Times New Roman" w:hAnsi="Times New Roman" w:cs="Times New Roman" w:eastAsia="Times New Roman"/>
          <w:b w:val="false"/>
          <w:highlight w:val="none"/>
        </w:rPr>
      </w:r>
      <w:r/>
    </w:p>
    <w:tbl>
      <w:tblPr>
        <w:tblStyle w:val="68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7"/>
        <w:gridCol w:w="600"/>
        <w:gridCol w:w="3685"/>
        <w:gridCol w:w="2377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Пункт плана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Текущее состояние. Задание</w:t>
            </w:r>
            <w:r/>
          </w:p>
        </w:tc>
        <w:tc>
          <w:tcPr>
            <w:tcW w:w="23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Ответственный, 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Регистрация в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Сферум учителей и учеников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Актуализация списка сотрудников гимназии.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Завершение регистрации сотрудников.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Завершение регистрации учеников.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hyperlink r:id="rId12" w:tooltip="https://r7.gymn528.ru:10000/Products/Files/DocEditor.aspx?fileid=20415" w:history="1">
              <w:r>
                <w:rPr>
                  <w:rStyle w:val="808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Таблица подключения сотрудников и учащихся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Внимание: вход в Сферум по ссылке в Электронной учительской: логин - телефон, пароль VK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3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Рубасова Ю.С.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Любина О.Н.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Срок: 10.12.2022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Создание чат-комнат в Сферум (на платформе «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VK Мессенджер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»)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Проверить наличие чатов классов, завести недостающие и подключить учителей, работающих в этих классах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3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Любина О.Н.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Срок: 30.12.2022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Создание электронных почтовых ящиков на платформе VKWorkSpace вида: </w:t>
            </w:r>
            <w:hyperlink r:id="rId13" w:tooltip="mailto:user@gymn528.ru" w:history="1">
              <w:r>
                <w:rPr>
                  <w:rStyle w:val="808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user@gymn528.ru</w:t>
              </w:r>
              <w:r>
                <w:rPr>
                  <w:rStyle w:val="808"/>
                  <w:rFonts w:ascii="Times New Roman" w:hAnsi="Times New Roman" w:cs="Times New Roman" w:eastAsia="Times New Roman"/>
                  <w:sz w:val="24"/>
                  <w:highlight w:val="none"/>
                </w:rPr>
              </w:r>
            </w:hyperlink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Актуализация списка сотрудников гимназии.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Проверка наличия почтовых ящиков, создание новых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3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Рубасова Ю.С.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Любина О.Н.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Срок: 30.12.2022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Приобретение лицензий Р7-ОФИС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Реализовано</w:t>
            </w:r>
            <w:r/>
          </w:p>
        </w:tc>
        <w:tc>
          <w:tcPr>
            <w:tcW w:w="23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Елисеева С.А.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Установка и настройка Р7-ОФИС Корпоративный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Серверный вариант - реализовано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377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Елисеева С.А.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Регистрация учетных записей на корпоративном сервере Р7-ОФИС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Реализовано для административных работников.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Подключение учителей к офису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377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Елисеева С.А.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Установка и настройка Р7-ОФИС, 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Libre Office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на все компьютеры гимназии</w:t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В первую очередь - в компьютерные классы 1 и 2 корпуса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гимназии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23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Демидов А.П.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Косолапов Д.А.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до 01.01.2023 (по возможности)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Регистрация на городском портале дистанционного обучения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https://do2.rcokoit.ru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Проверка доступности ресурса, корректность  параметров доступа на портал</w:t>
            </w:r>
            <w:r/>
          </w:p>
        </w:tc>
        <w:tc>
          <w:tcPr>
            <w:tcW w:w="23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Любина О.Н.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Маркина И.В.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850" w:right="567" w:bottom="850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6"/>
    <w:next w:val="826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6"/>
    <w:next w:val="826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6"/>
    <w:next w:val="826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826"/>
    <w:next w:val="826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7A4D8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2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3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4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5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6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7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Fill="text1" w:themeFillTint="40" w:themeColor="text1" w:themeTint="40"/>
    </w:tblPr>
    <w:tblStylePr w:type="band1Horz">
      <w:tcPr>
        <w:shd w:val="clear" w:color="FFFFFF" w:fill="8A8A8A" w:themeFill="text1" w:themeFillTint="75" w:themeColor="text1" w:themeTint="75"/>
      </w:tcPr>
    </w:tblStylePr>
    <w:tblStylePr w:type="band1Vert">
      <w:tcPr>
        <w:shd w:val="clear" w:color="FFFFFF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DEBF6" w:themeFill="accent1" w:themeFillTint="34" w:themeColor="accent1" w:themeTint="34"/>
    </w:tblPr>
    <w:tblStylePr w:type="band1Horz">
      <w:tcPr>
        <w:shd w:val="clear" w:color="FFFFFF" w:fill="B4D2EB" w:themeFill="accent1" w:themeFillTint="75" w:themeColor="accent1" w:themeTint="75"/>
      </w:tcPr>
    </w:tblStylePr>
    <w:tblStylePr w:type="band1Vert">
      <w:tcPr>
        <w:shd w:val="clear" w:color="FFFFFF" w:fill="B4D2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BE5D6" w:themeFill="accent2" w:themeFillTint="32" w:themeColor="accent2" w:themeTint="32"/>
    </w:tblPr>
    <w:tblStylePr w:type="band1Horz">
      <w:tcPr>
        <w:shd w:val="clear" w:color="FFFFFF" w:fill="F6C3A1" w:themeFill="accent2" w:themeFillTint="75" w:themeColor="accent2" w:themeTint="75"/>
      </w:tcPr>
    </w:tblStylePr>
    <w:tblStylePr w:type="band1Vert">
      <w:tcPr>
        <w:shd w:val="clear" w:color="FFFFFF" w:fill="F6C3A1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DEDED" w:themeFill="accent3" w:themeFillTint="34" w:themeColor="accent3" w:themeTint="34"/>
    </w:tblPr>
    <w:tblStylePr w:type="band1Horz">
      <w:tcPr>
        <w:shd w:val="clear" w:color="FFFFFF" w:fill="D6D6D6" w:themeFill="accent3" w:themeFillTint="75" w:themeColor="accent3" w:themeTint="75"/>
      </w:tcPr>
    </w:tblStylePr>
    <w:tblStylePr w:type="band1Vert">
      <w:tcPr>
        <w:shd w:val="clear" w:color="FFFFFF" w:fill="D6D6D6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EF2CB" w:themeFill="accent4" w:themeFillTint="34" w:themeColor="accent4" w:themeTint="34"/>
    </w:tblPr>
    <w:tblStylePr w:type="band1Horz">
      <w:tcPr>
        <w:shd w:val="clear" w:color="FFFFFF" w:fill="FEE189" w:themeFill="accent4" w:themeFillTint="75" w:themeColor="accent4" w:themeTint="75"/>
      </w:tcPr>
    </w:tblStylePr>
    <w:tblStylePr w:type="band1Vert">
      <w:tcPr>
        <w:shd w:val="clear" w:color="FFFFFF" w:fill="FEE189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9E2F2" w:themeFill="accent5" w:themeFillTint="34" w:themeColor="accent5" w:themeTint="34"/>
    </w:tblPr>
    <w:tblStylePr w:type="band1Horz">
      <w:tcPr>
        <w:shd w:val="clear" w:color="FFFFFF" w:fill="AABFE3" w:themeFill="accent5" w:themeFillTint="75" w:themeColor="accent5" w:themeTint="75"/>
      </w:tcPr>
    </w:tblStylePr>
    <w:tblStylePr w:type="band1Vert">
      <w:tcPr>
        <w:shd w:val="clear" w:color="FFFFFF" w:fill="AABFE3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2EFD8" w:themeFill="accent6" w:themeFillTint="34" w:themeColor="accent6" w:themeTint="34"/>
    </w:tblPr>
    <w:tblStylePr w:type="band1Horz">
      <w:tcPr>
        <w:shd w:val="clear" w:color="FFFFFF" w:fill="BEDBA8" w:themeFill="accent6" w:themeFillTint="75" w:themeColor="accent6" w:themeTint="75"/>
      </w:tcPr>
    </w:tblStylePr>
    <w:tblStylePr w:type="band1Vert">
      <w:tcPr>
        <w:shd w:val="clear" w:color="FFFFFF" w:fill="BE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  <w:tcBorders>
          <w:top w:val="single" w:color="000000" w:sz="4" w:space="0" w:themeColor="light1"/>
        </w:tcBorders>
      </w:tcPr>
    </w:tblStylePr>
  </w:style>
  <w:style w:type="table" w:styleId="724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tcPr>
        <w:shd w:val="clear" w:color="FFFFFF" w:fill="CBCBCB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tcPr>
        <w:shd w:val="clear" w:color="FFFFFF" w:fill="DDEBF6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tcPr>
        <w:shd w:val="clear" w:color="FFFFFF" w:fill="FBE5D6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tcPr>
        <w:shd w:val="clear" w:color="FFFFFF" w:fill="EDEDED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tcPr>
        <w:shd w:val="clear" w:color="FFFFFF" w:fill="FEF2CB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tcPr>
        <w:shd w:val="clear" w:color="FFFFFF" w:fill="D9E2F2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tcPr>
        <w:shd w:val="clear" w:color="FFFFFF" w:fill="E2EFD8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DDEBF6" w:themeFill="accent1" w:themeFillTint="34" w:themeColor="accent1" w:themeTint="34"/>
      </w:tcPr>
    </w:tblStylePr>
    <w:tblStylePr w:type="band1Vert">
      <w:tcPr>
        <w:shd w:val="clear" w:color="FFFFFF" w:fill="DDEBF6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Fill="accent2" w:themeFillTint="32" w:themeColor="accent2" w:themeTint="32"/>
      </w:tcPr>
    </w:tblStylePr>
    <w:tblStylePr w:type="band1Vert">
      <w:tcPr>
        <w:shd w:val="clear" w:color="FFFFFF" w:fill="FBE5D6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Fill="accent3" w:themeFillTint="34" w:themeColor="accent3" w:themeTint="34"/>
      </w:tcPr>
    </w:tblStylePr>
    <w:tblStylePr w:type="band1Vert">
      <w:tcPr>
        <w:shd w:val="clear" w:color="FFFFFF" w:fill="EDEDED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Fill="accent4" w:themeFillTint="34" w:themeColor="accent4" w:themeTint="34"/>
      </w:tcPr>
    </w:tblStylePr>
    <w:tblStylePr w:type="band1Vert">
      <w:tcPr>
        <w:shd w:val="clear" w:color="FFFFFF" w:fill="FEF2CB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D9E2F2" w:themeFill="accent5" w:themeFillTint="34" w:themeColor="accent5" w:themeTint="34"/>
      </w:tcPr>
    </w:tblStylePr>
    <w:tblStylePr w:type="band1Vert">
      <w:tcPr>
        <w:shd w:val="clear" w:color="FFFFFF" w:fill="D9E2F2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Fill="accent6" w:themeFillTint="34" w:themeColor="accent6" w:themeTint="34"/>
      </w:tcPr>
    </w:tblStylePr>
    <w:tblStylePr w:type="band1Vert">
      <w:tcPr>
        <w:shd w:val="clear" w:color="FFFFFF" w:fill="E2EFD8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Fill="accent1" w:themeFillTint="40" w:themeColor="accent1" w:themeTint="40"/>
      </w:tcPr>
    </w:tblStylePr>
    <w:tblStylePr w:type="band1Vert">
      <w:tcPr>
        <w:shd w:val="clear" w:color="FFFFFF" w:fill="D5E6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Fill="accent2" w:themeFillTint="40" w:themeColor="accent2" w:themeTint="40"/>
      </w:tcPr>
    </w:tblStylePr>
    <w:tblStylePr w:type="band1Vert">
      <w:tcPr>
        <w:shd w:val="clear" w:color="FFFFFF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Fill="accent3" w:themeFillTint="40" w:themeColor="accent3" w:themeTint="40"/>
      </w:tcPr>
    </w:tblStylePr>
    <w:tblStylePr w:type="band1Vert">
      <w:tcPr>
        <w:shd w:val="clear" w:color="FFFFFF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Fill="accent4" w:themeFillTint="40" w:themeColor="accent4" w:themeTint="40"/>
      </w:tcPr>
    </w:tblStylePr>
    <w:tblStylePr w:type="band1Vert">
      <w:tcPr>
        <w:shd w:val="clear" w:color="FFFFF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Fill="accent5" w:themeFillTint="40" w:themeColor="accent5" w:themeTint="40"/>
      </w:tcPr>
    </w:tblStylePr>
    <w:tblStylePr w:type="band1Vert">
      <w:tcPr>
        <w:shd w:val="clear" w:color="FFFFFF" w:fill="CFDC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Fill="accent6" w:themeFillTint="40" w:themeColor="accent6" w:themeTint="40"/>
      </w:tcPr>
    </w:tblStylePr>
    <w:tblStylePr w:type="band1Vert">
      <w:tcPr>
        <w:shd w:val="clear" w:color="FFFFFF" w:fill="DBEB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7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8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9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0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1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2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EAB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Fill="text1" w:themeFillTint="80" w:themeColor="text1" w:themeTint="80"/>
    </w:tblPr>
    <w:tblStylePr w:type="band1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5B9BD5" w:themeFill="accent1" w:themeColor="accent1"/>
    </w:tblPr>
    <w:tblStylePr w:type="band1Horz">
      <w:tcPr>
        <w:shd w:val="clear" w:color="FFFFFF" w:fill="5B9BD5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5B9BD5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5B9BD5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4B185" w:themeFill="accent2" w:themeFillTint="97" w:themeColor="accent2" w:themeTint="97"/>
    </w:tblPr>
    <w:tblStylePr w:type="band1Horz">
      <w:tcPr>
        <w:shd w:val="clear" w:color="FFFFFF" w:fill="F4B185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4B185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4B185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9C9C9" w:themeFill="accent3" w:themeFillTint="98" w:themeColor="accent3" w:themeTint="98"/>
    </w:tblPr>
    <w:tblStylePr w:type="band1Horz">
      <w:tcPr>
        <w:shd w:val="clear" w:color="FFFFFF" w:fill="C9C9C9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9C9C9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9C9C9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D864" w:themeFill="accent4" w:themeFillTint="9A" w:themeColor="accent4" w:themeTint="9A"/>
    </w:tblPr>
    <w:tblStylePr w:type="band1Horz">
      <w:tcPr>
        <w:shd w:val="clear" w:color="FFFFFF" w:fill="FFD864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D864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D864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8EABDB" w:themeFill="accent5" w:themeFillTint="9A" w:themeColor="accent5" w:themeTint="9A"/>
    </w:tblPr>
    <w:tblStylePr w:type="band1Horz">
      <w:tcPr>
        <w:shd w:val="clear" w:color="FFFFFF" w:fill="8EABDB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8EABDB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8EABDB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EABDB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AAD08F" w:themeFill="accent6" w:themeFillTint="98" w:themeColor="accent6" w:themeTint="98"/>
    </w:tblPr>
    <w:tblStylePr w:type="band1Horz">
      <w:tcPr>
        <w:shd w:val="clear" w:color="FFFFFF" w:fill="AAD08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AAD08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AAD08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4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tcPr>
        <w:shd w:val="clear" w:color="FFFFFF" w:fill="D5E6F4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5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tcPr>
        <w:shd w:val="clear" w:color="FFFFFF" w:fill="FADECB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6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tcPr>
        <w:shd w:val="clear" w:color="FFFFFF" w:fill="E8E8E8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7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tcPr>
        <w:shd w:val="clear" w:color="FFFFFF" w:fill="FFEFB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8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tcPr>
        <w:shd w:val="clear" w:color="FFFFFF" w:fill="CFDCF0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9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tcPr>
        <w:shd w:val="clear" w:color="FFFFFF" w:fill="DBEBD0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0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D5E6F4" w:themeFill="accent1" w:themeFillTint="40" w:themeColor="accent1" w:themeTint="40"/>
      </w:tcPr>
    </w:tblStylePr>
    <w:tblStylePr w:type="band1Vert">
      <w:tcPr>
        <w:shd w:val="clear" w:color="FFFFFF" w:fill="D5E6F4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Fill="accent2" w:themeFillTint="40" w:themeColor="accent2" w:themeTint="40"/>
      </w:tcPr>
    </w:tblStylePr>
    <w:tblStylePr w:type="band1Vert">
      <w:tcPr>
        <w:shd w:val="clear" w:color="FFFFFF" w:fill="FADECB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Fill="accent3" w:themeFillTint="40" w:themeColor="accent3" w:themeTint="40"/>
      </w:tcPr>
    </w:tblStylePr>
    <w:tblStylePr w:type="band1Vert">
      <w:tcPr>
        <w:shd w:val="clear" w:color="FFFFFF" w:fill="E8E8E8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Fill="accent4" w:themeFillTint="40" w:themeColor="accent4" w:themeTint="40"/>
      </w:tcPr>
    </w:tblStylePr>
    <w:tblStylePr w:type="band1Vert">
      <w:tcPr>
        <w:shd w:val="clear" w:color="FFFFFF" w:fill="FFEFB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CFDCF0" w:themeFill="accent5" w:themeFillTint="40" w:themeColor="accent5" w:themeTint="40"/>
      </w:tcPr>
    </w:tblStylePr>
    <w:tblStylePr w:type="band1Vert">
      <w:tcPr>
        <w:shd w:val="clear" w:color="FFFFFF" w:fill="CFDCF0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Fill="accent6" w:themeFillTint="40" w:themeColor="accent6" w:themeTint="40"/>
      </w:tcPr>
    </w:tblStylePr>
    <w:tblStylePr w:type="band1Vert">
      <w:tcPr>
        <w:shd w:val="clear" w:color="FFFFFF" w:fill="DBEBD0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88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</w:style>
  <w:style w:type="table" w:styleId="789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</w:style>
  <w:style w:type="table" w:styleId="790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</w:style>
  <w:style w:type="table" w:styleId="791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</w:style>
  <w:style w:type="table" w:styleId="792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</w:style>
  <w:style w:type="table" w:styleId="793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</w:style>
  <w:style w:type="table" w:styleId="794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95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Fill="accent1" w:themeFillTint="EA" w:themeColor="accent1" w:themeTint="EA"/>
      </w:tcPr>
    </w:tblStylePr>
  </w:style>
  <w:style w:type="table" w:styleId="796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Fill="accent2" w:themeFillTint="97" w:themeColor="accent2" w:themeTint="97"/>
      </w:tcPr>
    </w:tblStylePr>
  </w:style>
  <w:style w:type="table" w:styleId="797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 w:themeColor="accent3" w:themeTint="FE"/>
      </w:tcPr>
    </w:tblStylePr>
  </w:style>
  <w:style w:type="table" w:styleId="798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 w:themeColor="accent4" w:themeTint="9A"/>
      </w:tcPr>
    </w:tblStylePr>
  </w:style>
  <w:style w:type="table" w:styleId="799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 w:themeColor="accent5"/>
      </w:tcPr>
    </w:tblStylePr>
  </w:style>
  <w:style w:type="table" w:styleId="800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 w:themeColor="accent6"/>
      </w:tcPr>
    </w:tblStylePr>
  </w:style>
  <w:style w:type="table" w:styleId="801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2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3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4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5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6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7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rPr>
      <w:sz w:val="20"/>
    </w:rPr>
    <w:pPr>
      <w:spacing w:lineRule="auto" w:line="240" w:after="0"/>
    </w:p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No Spacing"/>
    <w:basedOn w:val="826"/>
    <w:qFormat/>
    <w:uiPriority w:val="1"/>
    <w:pPr>
      <w:spacing w:lineRule="auto" w:line="240" w:after="0"/>
    </w:pPr>
  </w:style>
  <w:style w:type="paragraph" w:styleId="830">
    <w:name w:val="List Paragraph"/>
    <w:basedOn w:val="826"/>
    <w:qFormat/>
    <w:uiPriority w:val="34"/>
    <w:pPr>
      <w:contextualSpacing w:val="true"/>
      <w:ind w:left="720"/>
    </w:pPr>
  </w:style>
  <w:style w:type="character" w:styleId="83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user@gymn528.ru" TargetMode="External"/><Relationship Id="rId11" Type="http://schemas.openxmlformats.org/officeDocument/2006/relationships/hyperlink" Target="https://do2.rcokoit.ru" TargetMode="External"/><Relationship Id="rId12" Type="http://schemas.openxmlformats.org/officeDocument/2006/relationships/hyperlink" Target="https://r7.gymn528.ru:10000/Products/Files/DocEditor.aspx?fileid=20415" TargetMode="External"/><Relationship Id="rId13" Type="http://schemas.openxmlformats.org/officeDocument/2006/relationships/hyperlink" Target="mailto:user@gymn528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Аноним</cp:lastModifiedBy>
  <cp:revision>15</cp:revision>
  <dcterms:modified xsi:type="dcterms:W3CDTF">2023-11-10T14:52:03Z</dcterms:modified>
</cp:coreProperties>
</file>